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96082" w14:textId="77777777" w:rsidR="00F26EFA" w:rsidRPr="001B41FC" w:rsidRDefault="00F26EFA" w:rsidP="00F26EFA">
      <w:pPr>
        <w:jc w:val="both"/>
        <w:rPr>
          <w:rFonts w:cs="Calibri"/>
          <w:b/>
          <w:bCs/>
          <w:color w:val="000000" w:themeColor="text1"/>
          <w:szCs w:val="28"/>
        </w:rPr>
      </w:pPr>
      <w:r w:rsidRPr="001B41FC">
        <w:rPr>
          <w:rFonts w:cs="Calibri"/>
          <w:b/>
          <w:bCs/>
          <w:color w:val="000000" w:themeColor="text1"/>
          <w:szCs w:val="28"/>
        </w:rPr>
        <w:t>Opis przedmiotu zamówienia</w:t>
      </w:r>
    </w:p>
    <w:p w14:paraId="34D82901" w14:textId="558D5B88" w:rsidR="00F26EFA" w:rsidRPr="001B41FC" w:rsidRDefault="00F26EFA" w:rsidP="000C1AD2">
      <w:pPr>
        <w:rPr>
          <w:rFonts w:cs="Calibri"/>
          <w:color w:val="000000" w:themeColor="text1"/>
          <w:szCs w:val="28"/>
        </w:rPr>
      </w:pPr>
      <w:r w:rsidRPr="001B41FC">
        <w:rPr>
          <w:rFonts w:cs="Calibri"/>
          <w:color w:val="000000" w:themeColor="text1"/>
          <w:szCs w:val="28"/>
        </w:rPr>
        <w:t>Przedmiotem zamówienia jest przeprowadzenie kontroli w spółce z</w:t>
      </w:r>
      <w:r w:rsidR="00446980" w:rsidRPr="001B41FC">
        <w:rPr>
          <w:rFonts w:cs="Calibri"/>
          <w:color w:val="000000" w:themeColor="text1"/>
          <w:szCs w:val="28"/>
        </w:rPr>
        <w:t> </w:t>
      </w:r>
      <w:r w:rsidRPr="001B41FC">
        <w:rPr>
          <w:rFonts w:cs="Calibri"/>
          <w:color w:val="000000" w:themeColor="text1"/>
          <w:szCs w:val="28"/>
        </w:rPr>
        <w:t>ograniczoną odpowiedzialnością, której właścicielem jest Gmina Śrem, w</w:t>
      </w:r>
      <w:r w:rsidR="00446980" w:rsidRPr="001B41FC">
        <w:rPr>
          <w:rFonts w:cs="Calibri"/>
          <w:color w:val="000000" w:themeColor="text1"/>
          <w:szCs w:val="28"/>
        </w:rPr>
        <w:t> </w:t>
      </w:r>
      <w:r w:rsidRPr="001B41FC">
        <w:rPr>
          <w:rFonts w:cs="Calibri"/>
          <w:color w:val="000000" w:themeColor="text1"/>
          <w:szCs w:val="28"/>
        </w:rPr>
        <w:t>zakresie zasad i</w:t>
      </w:r>
      <w:r w:rsidR="000C1AD2" w:rsidRPr="001B41FC">
        <w:rPr>
          <w:rFonts w:cs="Calibri"/>
          <w:color w:val="000000" w:themeColor="text1"/>
          <w:szCs w:val="28"/>
        </w:rPr>
        <w:t> </w:t>
      </w:r>
      <w:r w:rsidRPr="001B41FC">
        <w:rPr>
          <w:rFonts w:cs="Calibri"/>
          <w:color w:val="000000" w:themeColor="text1"/>
          <w:szCs w:val="28"/>
        </w:rPr>
        <w:t xml:space="preserve">skutków finansowych wydawania </w:t>
      </w:r>
      <w:r w:rsidR="009D745D" w:rsidRPr="001B41FC">
        <w:rPr>
          <w:rFonts w:cs="Calibri"/>
          <w:color w:val="000000" w:themeColor="text1"/>
          <w:szCs w:val="28"/>
        </w:rPr>
        <w:t xml:space="preserve">bezpłatnych </w:t>
      </w:r>
      <w:r w:rsidRPr="001B41FC">
        <w:rPr>
          <w:rFonts w:cs="Calibri"/>
          <w:color w:val="000000" w:themeColor="text1"/>
          <w:szCs w:val="28"/>
        </w:rPr>
        <w:t xml:space="preserve">karnetów uprawniających do korzystania </w:t>
      </w:r>
      <w:r w:rsidRPr="001B41FC">
        <w:rPr>
          <w:color w:val="000000" w:themeColor="text1"/>
        </w:rPr>
        <w:t>z</w:t>
      </w:r>
      <w:r w:rsidR="004B272F" w:rsidRPr="001B41FC">
        <w:rPr>
          <w:color w:val="000000" w:themeColor="text1"/>
        </w:rPr>
        <w:t> </w:t>
      </w:r>
      <w:r w:rsidRPr="001B41FC">
        <w:rPr>
          <w:color w:val="000000" w:themeColor="text1"/>
        </w:rPr>
        <w:t>usług</w:t>
      </w:r>
      <w:r w:rsidRPr="001B41FC">
        <w:rPr>
          <w:rFonts w:cs="Calibri"/>
          <w:color w:val="000000" w:themeColor="text1"/>
          <w:szCs w:val="28"/>
        </w:rPr>
        <w:t xml:space="preserve"> spółki w latach 2016–2024.</w:t>
      </w:r>
    </w:p>
    <w:p w14:paraId="7D748CBF" w14:textId="5226C5AC" w:rsidR="004B272F" w:rsidRPr="001B41FC" w:rsidRDefault="004B272F" w:rsidP="000C1AD2">
      <w:pPr>
        <w:rPr>
          <w:rFonts w:cs="Calibri"/>
          <w:color w:val="000000" w:themeColor="text1"/>
          <w:szCs w:val="28"/>
        </w:rPr>
      </w:pPr>
      <w:r w:rsidRPr="001B41FC">
        <w:rPr>
          <w:color w:val="000000" w:themeColor="text1"/>
        </w:rPr>
        <w:t>Kontrola zostanie przeprowadzona na podstawie art. 212 ustawy z dnia 15 września 2000 r. – Kodeks spółek handlowych oraz imiennego upoważnienia udzielonego przez Burmistrza Śremu.</w:t>
      </w:r>
    </w:p>
    <w:p w14:paraId="2D2D3A9D" w14:textId="3D3C4ED6" w:rsidR="0004393E" w:rsidRPr="001B41FC" w:rsidRDefault="004B272F" w:rsidP="0004393E">
      <w:pPr>
        <w:rPr>
          <w:color w:val="000000" w:themeColor="text1"/>
        </w:rPr>
      </w:pPr>
      <w:r w:rsidRPr="001B41FC">
        <w:rPr>
          <w:color w:val="000000" w:themeColor="text1"/>
        </w:rPr>
        <w:t xml:space="preserve">Celem kontroli jest ustalenie i ocena zasad wydawania </w:t>
      </w:r>
      <w:r w:rsidR="009D745D" w:rsidRPr="001B41FC">
        <w:rPr>
          <w:color w:val="000000" w:themeColor="text1"/>
        </w:rPr>
        <w:t xml:space="preserve">bezpłatnych </w:t>
      </w:r>
      <w:r w:rsidRPr="001B41FC">
        <w:rPr>
          <w:color w:val="000000" w:themeColor="text1"/>
        </w:rPr>
        <w:t>karnetów w</w:t>
      </w:r>
      <w:r w:rsidR="009D745D" w:rsidRPr="001B41FC">
        <w:rPr>
          <w:color w:val="000000" w:themeColor="text1"/>
        </w:rPr>
        <w:t> </w:t>
      </w:r>
      <w:r w:rsidRPr="001B41FC">
        <w:rPr>
          <w:color w:val="000000" w:themeColor="text1"/>
        </w:rPr>
        <w:t>latach 2016–2024, w szczególności pod kątem ich legalności, gospodarności i</w:t>
      </w:r>
      <w:r w:rsidR="009D745D" w:rsidRPr="001B41FC">
        <w:rPr>
          <w:color w:val="000000" w:themeColor="text1"/>
        </w:rPr>
        <w:t> </w:t>
      </w:r>
      <w:r w:rsidRPr="001B41FC">
        <w:rPr>
          <w:color w:val="000000" w:themeColor="text1"/>
        </w:rPr>
        <w:t>celowości, a także określenie skutków finansowych tych działań oraz ich wpływu na wynik finansowy spółki.</w:t>
      </w:r>
    </w:p>
    <w:p w14:paraId="48FA0182" w14:textId="1AD0D3EE" w:rsidR="0004393E" w:rsidRPr="001B41FC" w:rsidRDefault="0004393E" w:rsidP="0004393E">
      <w:pPr>
        <w:spacing w:after="0"/>
        <w:rPr>
          <w:rFonts w:cs="Calibri"/>
          <w:color w:val="000000" w:themeColor="text1"/>
          <w:szCs w:val="28"/>
        </w:rPr>
      </w:pPr>
      <w:r w:rsidRPr="001B41FC">
        <w:rPr>
          <w:rFonts w:cs="Calibri"/>
          <w:color w:val="000000" w:themeColor="text1"/>
          <w:szCs w:val="28"/>
        </w:rPr>
        <w:t>Kontrola zostanie przeprowadzona wyłącznie w siedzibie spółki, w wyznaczonym pomieszczeniu, na udostępnionym stanowisku, z dostępem do raportów wyłącznie w zakresie niezbędnym do weryfikacji. Wgląd do dokumentów źródłowych odbywa się na miejscu, bez kopiowania całości dokumentacji, a ewentualne kopie lub wyciągi – tylko w zakresie niezbędnym i po uzasadnieniu przez kontrolującego.</w:t>
      </w:r>
    </w:p>
    <w:p w14:paraId="3A18AB8D" w14:textId="56655FA4" w:rsidR="0004393E" w:rsidRPr="001B41FC" w:rsidRDefault="0004393E" w:rsidP="0004393E">
      <w:pPr>
        <w:spacing w:after="0"/>
        <w:rPr>
          <w:rFonts w:cs="Calibri"/>
          <w:color w:val="000000" w:themeColor="text1"/>
          <w:szCs w:val="28"/>
        </w:rPr>
      </w:pPr>
      <w:r w:rsidRPr="001B41FC">
        <w:rPr>
          <w:rFonts w:cs="Calibri"/>
          <w:color w:val="000000" w:themeColor="text1"/>
          <w:szCs w:val="28"/>
        </w:rPr>
        <w:t>Zamawiający nie dopuszcza możliwości realizacji przedmiotu umowy w sposób zdalny, w szczególności poprzez analizę dokumentów poza siedzibą spółki, z wyjątkiem czynności pomocniczych niewpływających na zasadniczy przebieg kontroli. Za czynności pomocnicze uznaje się wyłącznie przygotowanie przez Wykonawcę wykazu dokumentów, które mają zostać udostępnione do wglądu w siedzibie Spółki, przekazanego Zamawiającemu co najmniej 3 dni robocze przed planowanym terminem ich udostępnienia a także sporządzanie raportu z kontroli.</w:t>
      </w:r>
    </w:p>
    <w:p w14:paraId="3B6731A6" w14:textId="77777777" w:rsidR="00FD246E" w:rsidRPr="001B41FC" w:rsidRDefault="00FD246E" w:rsidP="00F779E8">
      <w:pPr>
        <w:spacing w:after="0"/>
        <w:rPr>
          <w:rFonts w:cs="Calibri"/>
          <w:color w:val="000000" w:themeColor="text1"/>
          <w:szCs w:val="28"/>
        </w:rPr>
      </w:pPr>
    </w:p>
    <w:p w14:paraId="06BC75D2" w14:textId="77777777" w:rsidR="008B503B" w:rsidRPr="001B41FC" w:rsidRDefault="008B503B" w:rsidP="008B503B">
      <w:pPr>
        <w:jc w:val="both"/>
        <w:rPr>
          <w:color w:val="000000" w:themeColor="text1"/>
        </w:rPr>
      </w:pPr>
      <w:r w:rsidRPr="001B41FC">
        <w:rPr>
          <w:color w:val="000000" w:themeColor="text1"/>
        </w:rPr>
        <w:t>Zakres kontroli obejmuje w szczególności:</w:t>
      </w:r>
    </w:p>
    <w:p w14:paraId="0700A367" w14:textId="223F67D6" w:rsidR="008B503B" w:rsidRPr="001B41FC" w:rsidRDefault="008B503B" w:rsidP="00B25182">
      <w:pPr>
        <w:numPr>
          <w:ilvl w:val="0"/>
          <w:numId w:val="36"/>
        </w:numPr>
        <w:rPr>
          <w:color w:val="000000" w:themeColor="text1"/>
        </w:rPr>
      </w:pPr>
      <w:r w:rsidRPr="001B41FC">
        <w:rPr>
          <w:color w:val="000000" w:themeColor="text1"/>
        </w:rPr>
        <w:t xml:space="preserve">Ustalenie zasad, trybu oraz praktyki wydawania </w:t>
      </w:r>
      <w:r w:rsidR="009D745D" w:rsidRPr="001B41FC">
        <w:rPr>
          <w:color w:val="000000" w:themeColor="text1"/>
        </w:rPr>
        <w:t xml:space="preserve">bezpłatnych </w:t>
      </w:r>
      <w:r w:rsidRPr="001B41FC">
        <w:rPr>
          <w:color w:val="000000" w:themeColor="text1"/>
        </w:rPr>
        <w:t>karnetów w</w:t>
      </w:r>
      <w:r w:rsidR="009D745D" w:rsidRPr="001B41FC">
        <w:rPr>
          <w:color w:val="000000" w:themeColor="text1"/>
        </w:rPr>
        <w:t> </w:t>
      </w:r>
      <w:r w:rsidRPr="001B41FC">
        <w:rPr>
          <w:color w:val="000000" w:themeColor="text1"/>
        </w:rPr>
        <w:t>okresie 2016–2024, w tym:</w:t>
      </w:r>
    </w:p>
    <w:p w14:paraId="3E895D0B" w14:textId="472CB1D5" w:rsidR="008B503B" w:rsidRPr="001B41FC" w:rsidRDefault="008B503B" w:rsidP="00E07AEB">
      <w:pPr>
        <w:numPr>
          <w:ilvl w:val="1"/>
          <w:numId w:val="36"/>
        </w:numPr>
        <w:tabs>
          <w:tab w:val="num" w:pos="1440"/>
        </w:tabs>
        <w:spacing w:after="0"/>
        <w:rPr>
          <w:color w:val="000000" w:themeColor="text1"/>
        </w:rPr>
      </w:pPr>
      <w:r w:rsidRPr="001B41FC">
        <w:rPr>
          <w:color w:val="000000" w:themeColor="text1"/>
        </w:rPr>
        <w:t xml:space="preserve">identyfikację podstaw formalnych przyznawania </w:t>
      </w:r>
      <w:r w:rsidR="009D745D" w:rsidRPr="001B41FC">
        <w:rPr>
          <w:color w:val="000000" w:themeColor="text1"/>
        </w:rPr>
        <w:t xml:space="preserve">bezpłatnych </w:t>
      </w:r>
      <w:r w:rsidRPr="001B41FC">
        <w:rPr>
          <w:color w:val="000000" w:themeColor="text1"/>
        </w:rPr>
        <w:t>karnetów (uchwały, zarządzenia, regulaminy, decyzje Zarządu lub Wspólnika),</w:t>
      </w:r>
    </w:p>
    <w:p w14:paraId="36C3326F" w14:textId="2CA01F39" w:rsidR="008B503B" w:rsidRPr="001B41FC" w:rsidRDefault="008B503B" w:rsidP="00E07AEB">
      <w:pPr>
        <w:numPr>
          <w:ilvl w:val="1"/>
          <w:numId w:val="36"/>
        </w:numPr>
        <w:tabs>
          <w:tab w:val="num" w:pos="1440"/>
        </w:tabs>
        <w:spacing w:after="0"/>
        <w:rPr>
          <w:color w:val="000000" w:themeColor="text1"/>
        </w:rPr>
      </w:pPr>
      <w:r w:rsidRPr="001B41FC">
        <w:rPr>
          <w:color w:val="000000" w:themeColor="text1"/>
        </w:rPr>
        <w:t xml:space="preserve">identyfikację grup osób, którym przyznawano </w:t>
      </w:r>
      <w:r w:rsidR="009D745D" w:rsidRPr="001B41FC">
        <w:rPr>
          <w:color w:val="000000" w:themeColor="text1"/>
        </w:rPr>
        <w:t xml:space="preserve">bezpłatne </w:t>
      </w:r>
      <w:r w:rsidRPr="001B41FC">
        <w:rPr>
          <w:color w:val="000000" w:themeColor="text1"/>
        </w:rPr>
        <w:t>karnety (np. pracownicy, współpracownicy, osoby trzecie),</w:t>
      </w:r>
    </w:p>
    <w:p w14:paraId="79729214" w14:textId="6ADE7869" w:rsidR="008B503B" w:rsidRPr="001B41FC" w:rsidRDefault="008B503B" w:rsidP="00E07AEB">
      <w:pPr>
        <w:numPr>
          <w:ilvl w:val="1"/>
          <w:numId w:val="36"/>
        </w:numPr>
        <w:tabs>
          <w:tab w:val="num" w:pos="1440"/>
        </w:tabs>
        <w:spacing w:after="0"/>
        <w:rPr>
          <w:color w:val="000000" w:themeColor="text1"/>
        </w:rPr>
      </w:pPr>
      <w:r w:rsidRPr="001B41FC">
        <w:rPr>
          <w:color w:val="000000" w:themeColor="text1"/>
        </w:rPr>
        <w:t xml:space="preserve">określenie liczby wydanych </w:t>
      </w:r>
      <w:r w:rsidR="009D745D" w:rsidRPr="001B41FC">
        <w:rPr>
          <w:color w:val="000000" w:themeColor="text1"/>
        </w:rPr>
        <w:t xml:space="preserve">bezpłatnych </w:t>
      </w:r>
      <w:r w:rsidRPr="001B41FC">
        <w:rPr>
          <w:color w:val="000000" w:themeColor="text1"/>
        </w:rPr>
        <w:t>karnetów oraz okresu ich obowiązywania,</w:t>
      </w:r>
    </w:p>
    <w:p w14:paraId="3B5B0D97" w14:textId="48CC68DB" w:rsidR="008B503B" w:rsidRPr="001B41FC" w:rsidRDefault="008B503B" w:rsidP="00E07AEB">
      <w:pPr>
        <w:numPr>
          <w:ilvl w:val="1"/>
          <w:numId w:val="36"/>
        </w:numPr>
        <w:tabs>
          <w:tab w:val="num" w:pos="1440"/>
        </w:tabs>
        <w:spacing w:after="0"/>
        <w:rPr>
          <w:color w:val="000000" w:themeColor="text1"/>
        </w:rPr>
      </w:pPr>
      <w:r w:rsidRPr="001B41FC">
        <w:rPr>
          <w:color w:val="000000" w:themeColor="text1"/>
        </w:rPr>
        <w:t xml:space="preserve">ustalenie, czy oraz w jakiej formie dokumentowano cele lub przesłanki wydawania </w:t>
      </w:r>
      <w:r w:rsidR="009D745D" w:rsidRPr="001B41FC">
        <w:rPr>
          <w:color w:val="000000" w:themeColor="text1"/>
        </w:rPr>
        <w:t xml:space="preserve">bezpłatnych </w:t>
      </w:r>
      <w:r w:rsidRPr="001B41FC">
        <w:rPr>
          <w:color w:val="000000" w:themeColor="text1"/>
        </w:rPr>
        <w:t>karnetów.</w:t>
      </w:r>
    </w:p>
    <w:p w14:paraId="2F252B4E" w14:textId="3D78A35D" w:rsidR="008B503B" w:rsidRPr="001B41FC" w:rsidRDefault="008B503B" w:rsidP="00E07AEB">
      <w:pPr>
        <w:numPr>
          <w:ilvl w:val="0"/>
          <w:numId w:val="36"/>
        </w:numPr>
        <w:spacing w:before="120"/>
        <w:ind w:left="499" w:hanging="357"/>
        <w:rPr>
          <w:color w:val="000000" w:themeColor="text1"/>
        </w:rPr>
      </w:pPr>
      <w:r w:rsidRPr="001B41FC">
        <w:rPr>
          <w:color w:val="000000" w:themeColor="text1"/>
        </w:rPr>
        <w:lastRenderedPageBreak/>
        <w:t>Analizę kosztów potencjalnego pełnego wykorzystania usług wynikających z</w:t>
      </w:r>
      <w:r w:rsidR="00B25182" w:rsidRPr="001B41FC">
        <w:rPr>
          <w:color w:val="000000" w:themeColor="text1"/>
        </w:rPr>
        <w:t> </w:t>
      </w:r>
      <w:r w:rsidRPr="001B41FC">
        <w:rPr>
          <w:color w:val="000000" w:themeColor="text1"/>
        </w:rPr>
        <w:t xml:space="preserve">przyznanych </w:t>
      </w:r>
      <w:r w:rsidR="009D745D" w:rsidRPr="001B41FC">
        <w:rPr>
          <w:color w:val="000000" w:themeColor="text1"/>
        </w:rPr>
        <w:t xml:space="preserve">bezpłatnych </w:t>
      </w:r>
      <w:r w:rsidRPr="001B41FC">
        <w:rPr>
          <w:color w:val="000000" w:themeColor="text1"/>
        </w:rPr>
        <w:t>karnetów, w tym:</w:t>
      </w:r>
    </w:p>
    <w:p w14:paraId="3FFB13D2" w14:textId="0583C6A8" w:rsidR="008B503B" w:rsidRPr="001B41FC" w:rsidRDefault="008B503B" w:rsidP="00E07AEB">
      <w:pPr>
        <w:numPr>
          <w:ilvl w:val="1"/>
          <w:numId w:val="36"/>
        </w:numPr>
        <w:tabs>
          <w:tab w:val="num" w:pos="1440"/>
        </w:tabs>
        <w:spacing w:after="0"/>
        <w:rPr>
          <w:color w:val="000000" w:themeColor="text1"/>
        </w:rPr>
      </w:pPr>
      <w:r w:rsidRPr="001B41FC">
        <w:rPr>
          <w:color w:val="000000" w:themeColor="text1"/>
        </w:rPr>
        <w:t xml:space="preserve">ustalenie, czy spółka dokonywała szacunków kosztów, jakie mogłaby ponieść w przypadku pełnego wykorzystania usług przysługujących posiadaczom </w:t>
      </w:r>
      <w:r w:rsidR="009D745D" w:rsidRPr="001B41FC">
        <w:rPr>
          <w:color w:val="000000" w:themeColor="text1"/>
        </w:rPr>
        <w:t xml:space="preserve">bezpłatnych </w:t>
      </w:r>
      <w:r w:rsidRPr="001B41FC">
        <w:rPr>
          <w:color w:val="000000" w:themeColor="text1"/>
        </w:rPr>
        <w:t>karnetów,</w:t>
      </w:r>
    </w:p>
    <w:p w14:paraId="1E3439E1" w14:textId="77777777" w:rsidR="008B503B" w:rsidRPr="001B41FC" w:rsidRDefault="008B503B" w:rsidP="00E07AEB">
      <w:pPr>
        <w:numPr>
          <w:ilvl w:val="1"/>
          <w:numId w:val="36"/>
        </w:numPr>
        <w:tabs>
          <w:tab w:val="num" w:pos="1440"/>
        </w:tabs>
        <w:spacing w:after="0"/>
        <w:rPr>
          <w:color w:val="000000" w:themeColor="text1"/>
        </w:rPr>
      </w:pPr>
      <w:r w:rsidRPr="001B41FC">
        <w:rPr>
          <w:color w:val="000000" w:themeColor="text1"/>
        </w:rPr>
        <w:t>ocenę rzetelności i kompletności takich szacunków, z uwzględnieniem przyjętych założeń i źródeł danych,</w:t>
      </w:r>
    </w:p>
    <w:p w14:paraId="549D375E" w14:textId="77777777" w:rsidR="008B503B" w:rsidRPr="001B41FC" w:rsidRDefault="008B503B" w:rsidP="00E07AEB">
      <w:pPr>
        <w:numPr>
          <w:ilvl w:val="1"/>
          <w:numId w:val="36"/>
        </w:numPr>
        <w:tabs>
          <w:tab w:val="num" w:pos="1440"/>
        </w:tabs>
        <w:spacing w:after="0"/>
        <w:rPr>
          <w:color w:val="000000" w:themeColor="text1"/>
        </w:rPr>
      </w:pPr>
      <w:r w:rsidRPr="001B41FC">
        <w:rPr>
          <w:color w:val="000000" w:themeColor="text1"/>
        </w:rPr>
        <w:t>identyfikację potencjalnych braków lub nieścisłości w oszacowaniach, mogących mieć wpływ na wynik finansowy spółki lub ocenę ryzyk.</w:t>
      </w:r>
    </w:p>
    <w:p w14:paraId="2E61E7B1" w14:textId="1226F131" w:rsidR="008B503B" w:rsidRPr="001B41FC" w:rsidRDefault="008B503B" w:rsidP="00E07AEB">
      <w:pPr>
        <w:numPr>
          <w:ilvl w:val="0"/>
          <w:numId w:val="36"/>
        </w:numPr>
        <w:spacing w:before="120"/>
        <w:ind w:left="499" w:hanging="357"/>
        <w:rPr>
          <w:color w:val="000000" w:themeColor="text1"/>
        </w:rPr>
      </w:pPr>
      <w:r w:rsidRPr="001B41FC">
        <w:rPr>
          <w:color w:val="000000" w:themeColor="text1"/>
        </w:rPr>
        <w:t>Określenie rzeczywistych oraz potencjalnych kosztów poniesionych przez spółkę w związku z udostępnianiem</w:t>
      </w:r>
      <w:r w:rsidR="009D745D" w:rsidRPr="001B41FC">
        <w:rPr>
          <w:color w:val="000000" w:themeColor="text1"/>
        </w:rPr>
        <w:t xml:space="preserve"> bezpłatnych</w:t>
      </w:r>
      <w:r w:rsidRPr="001B41FC">
        <w:rPr>
          <w:color w:val="000000" w:themeColor="text1"/>
        </w:rPr>
        <w:t xml:space="preserve"> karnetów, w tym:</w:t>
      </w:r>
    </w:p>
    <w:p w14:paraId="7D024345" w14:textId="77777777" w:rsidR="008B503B" w:rsidRPr="001B41FC" w:rsidRDefault="008B503B" w:rsidP="00E07AEB">
      <w:pPr>
        <w:numPr>
          <w:ilvl w:val="1"/>
          <w:numId w:val="36"/>
        </w:numPr>
        <w:tabs>
          <w:tab w:val="num" w:pos="1440"/>
        </w:tabs>
        <w:spacing w:after="0"/>
        <w:rPr>
          <w:color w:val="000000" w:themeColor="text1"/>
        </w:rPr>
      </w:pPr>
      <w:r w:rsidRPr="001B41FC">
        <w:rPr>
          <w:color w:val="000000" w:themeColor="text1"/>
        </w:rPr>
        <w:t>kosztów bezpośrednich,</w:t>
      </w:r>
    </w:p>
    <w:p w14:paraId="5ADBA354" w14:textId="77777777" w:rsidR="008B503B" w:rsidRPr="001B41FC" w:rsidRDefault="008B503B" w:rsidP="00E07AEB">
      <w:pPr>
        <w:numPr>
          <w:ilvl w:val="1"/>
          <w:numId w:val="36"/>
        </w:numPr>
        <w:tabs>
          <w:tab w:val="num" w:pos="1440"/>
        </w:tabs>
        <w:spacing w:after="0"/>
        <w:rPr>
          <w:color w:val="000000" w:themeColor="text1"/>
        </w:rPr>
      </w:pPr>
      <w:r w:rsidRPr="001B41FC">
        <w:rPr>
          <w:color w:val="000000" w:themeColor="text1"/>
        </w:rPr>
        <w:t>kosztów pośrednich,</w:t>
      </w:r>
    </w:p>
    <w:p w14:paraId="3715B1B2" w14:textId="77777777" w:rsidR="008B503B" w:rsidRPr="001B41FC" w:rsidRDefault="008B503B" w:rsidP="00E07AEB">
      <w:pPr>
        <w:numPr>
          <w:ilvl w:val="1"/>
          <w:numId w:val="36"/>
        </w:numPr>
        <w:tabs>
          <w:tab w:val="num" w:pos="1440"/>
        </w:tabs>
        <w:spacing w:after="0"/>
        <w:rPr>
          <w:color w:val="000000" w:themeColor="text1"/>
        </w:rPr>
      </w:pPr>
      <w:r w:rsidRPr="001B41FC">
        <w:rPr>
          <w:color w:val="000000" w:themeColor="text1"/>
        </w:rPr>
        <w:t>kosztów alternatywnych (utraconych przychodów).</w:t>
      </w:r>
    </w:p>
    <w:p w14:paraId="564ECDE2" w14:textId="77777777" w:rsidR="008B503B" w:rsidRPr="001B41FC" w:rsidRDefault="008B503B" w:rsidP="00E07AEB">
      <w:pPr>
        <w:numPr>
          <w:ilvl w:val="0"/>
          <w:numId w:val="36"/>
        </w:numPr>
        <w:spacing w:before="120" w:after="120"/>
        <w:ind w:left="499" w:hanging="357"/>
        <w:jc w:val="both"/>
        <w:rPr>
          <w:color w:val="000000" w:themeColor="text1"/>
        </w:rPr>
      </w:pPr>
      <w:r w:rsidRPr="001B41FC">
        <w:rPr>
          <w:color w:val="000000" w:themeColor="text1"/>
        </w:rPr>
        <w:t>Ocenę ryzyka wystąpienia strat lub utraconych korzyści, w szczególności:</w:t>
      </w:r>
    </w:p>
    <w:p w14:paraId="283D373D" w14:textId="1C0DD498" w:rsidR="008B503B" w:rsidRPr="001B41FC" w:rsidRDefault="008B503B" w:rsidP="00E07AEB">
      <w:pPr>
        <w:numPr>
          <w:ilvl w:val="1"/>
          <w:numId w:val="36"/>
        </w:numPr>
        <w:tabs>
          <w:tab w:val="num" w:pos="1440"/>
        </w:tabs>
        <w:spacing w:after="0"/>
        <w:jc w:val="both"/>
        <w:rPr>
          <w:color w:val="000000" w:themeColor="text1"/>
        </w:rPr>
      </w:pPr>
      <w:r w:rsidRPr="001B41FC">
        <w:rPr>
          <w:color w:val="000000" w:themeColor="text1"/>
        </w:rPr>
        <w:t xml:space="preserve">wpływu wydawania </w:t>
      </w:r>
      <w:r w:rsidR="009D745D" w:rsidRPr="001B41FC">
        <w:rPr>
          <w:color w:val="000000" w:themeColor="text1"/>
        </w:rPr>
        <w:t xml:space="preserve">bezpłatnych </w:t>
      </w:r>
      <w:r w:rsidRPr="001B41FC">
        <w:rPr>
          <w:color w:val="000000" w:themeColor="text1"/>
        </w:rPr>
        <w:t>karnetów na sprzedaż usług odpłatnych,</w:t>
      </w:r>
    </w:p>
    <w:p w14:paraId="4F7CD45C" w14:textId="77777777" w:rsidR="008B503B" w:rsidRPr="001B41FC" w:rsidRDefault="008B503B" w:rsidP="00E07AEB">
      <w:pPr>
        <w:numPr>
          <w:ilvl w:val="1"/>
          <w:numId w:val="36"/>
        </w:numPr>
        <w:tabs>
          <w:tab w:val="num" w:pos="1440"/>
        </w:tabs>
        <w:spacing w:after="0"/>
        <w:jc w:val="both"/>
        <w:rPr>
          <w:color w:val="000000" w:themeColor="text1"/>
        </w:rPr>
      </w:pPr>
      <w:r w:rsidRPr="001B41FC">
        <w:rPr>
          <w:color w:val="000000" w:themeColor="text1"/>
        </w:rPr>
        <w:t>wpływu na dostępność usług dla klientów komercyjnych,</w:t>
      </w:r>
    </w:p>
    <w:p w14:paraId="02EBA5EB" w14:textId="77777777" w:rsidR="008B503B" w:rsidRPr="001B41FC" w:rsidRDefault="008B503B" w:rsidP="00E07AEB">
      <w:pPr>
        <w:numPr>
          <w:ilvl w:val="1"/>
          <w:numId w:val="36"/>
        </w:numPr>
        <w:tabs>
          <w:tab w:val="num" w:pos="1440"/>
        </w:tabs>
        <w:spacing w:after="0"/>
        <w:jc w:val="both"/>
        <w:rPr>
          <w:color w:val="000000" w:themeColor="text1"/>
        </w:rPr>
      </w:pPr>
      <w:r w:rsidRPr="001B41FC">
        <w:rPr>
          <w:color w:val="000000" w:themeColor="text1"/>
        </w:rPr>
        <w:t>ryzyka naruszenia zasad gospodarności i celowości.</w:t>
      </w:r>
    </w:p>
    <w:p w14:paraId="2548C957" w14:textId="01D4646C" w:rsidR="008B503B" w:rsidRPr="001B41FC" w:rsidRDefault="008B503B" w:rsidP="00E07AEB">
      <w:pPr>
        <w:numPr>
          <w:ilvl w:val="0"/>
          <w:numId w:val="36"/>
        </w:numPr>
        <w:spacing w:before="120" w:after="0"/>
        <w:ind w:left="499" w:hanging="357"/>
        <w:rPr>
          <w:color w:val="000000" w:themeColor="text1"/>
        </w:rPr>
      </w:pPr>
      <w:r w:rsidRPr="001B41FC">
        <w:rPr>
          <w:color w:val="000000" w:themeColor="text1"/>
        </w:rPr>
        <w:t xml:space="preserve">Analizę wpływu wydawania </w:t>
      </w:r>
      <w:r w:rsidR="009D745D" w:rsidRPr="001B41FC">
        <w:rPr>
          <w:color w:val="000000" w:themeColor="text1"/>
        </w:rPr>
        <w:t xml:space="preserve">bezpłatnych </w:t>
      </w:r>
      <w:r w:rsidRPr="001B41FC">
        <w:rPr>
          <w:color w:val="000000" w:themeColor="text1"/>
        </w:rPr>
        <w:t>karnetów na wynik finansowy spółki w badanym okresie, z uwzględnieniem poszczególnych lat oraz skali zjawiska.</w:t>
      </w:r>
    </w:p>
    <w:p w14:paraId="7460E572" w14:textId="419203AC" w:rsidR="008B503B" w:rsidRPr="001B41FC" w:rsidRDefault="008B503B" w:rsidP="00E07AEB">
      <w:pPr>
        <w:numPr>
          <w:ilvl w:val="0"/>
          <w:numId w:val="36"/>
        </w:numPr>
        <w:spacing w:before="120"/>
        <w:ind w:left="499" w:hanging="357"/>
        <w:rPr>
          <w:color w:val="000000" w:themeColor="text1"/>
        </w:rPr>
      </w:pPr>
      <w:r w:rsidRPr="001B41FC">
        <w:rPr>
          <w:color w:val="000000" w:themeColor="text1"/>
        </w:rPr>
        <w:t>W ramach realizacji zamówienia Wykonawca sporządzi wstępną wersję raportu z kontroli i przedstawi ją Zamawiającemu podczas spotkania w</w:t>
      </w:r>
      <w:r w:rsidR="00B25182" w:rsidRPr="001B41FC">
        <w:rPr>
          <w:color w:val="000000" w:themeColor="text1"/>
        </w:rPr>
        <w:t> </w:t>
      </w:r>
      <w:r w:rsidRPr="001B41FC">
        <w:rPr>
          <w:color w:val="000000" w:themeColor="text1"/>
        </w:rPr>
        <w:t>siedzibie spółki, obejmującego omówienie ustaleń kontroli oraz treści</w:t>
      </w:r>
      <w:r w:rsidR="00B25182" w:rsidRPr="001B41FC">
        <w:rPr>
          <w:color w:val="000000" w:themeColor="text1"/>
        </w:rPr>
        <w:t> </w:t>
      </w:r>
      <w:r w:rsidRPr="001B41FC">
        <w:rPr>
          <w:color w:val="000000" w:themeColor="text1"/>
        </w:rPr>
        <w:t>raportu. Termin spotkania zostanie uzgodniony pomiędzy Zamawiającym a Wykonawcą.</w:t>
      </w:r>
    </w:p>
    <w:p w14:paraId="444F4B43" w14:textId="39C7B4AE" w:rsidR="008B503B" w:rsidRPr="001B41FC" w:rsidRDefault="008B503B" w:rsidP="00B25182">
      <w:pPr>
        <w:numPr>
          <w:ilvl w:val="0"/>
          <w:numId w:val="36"/>
        </w:numPr>
        <w:rPr>
          <w:color w:val="000000" w:themeColor="text1"/>
        </w:rPr>
      </w:pPr>
      <w:r w:rsidRPr="001B41FC">
        <w:rPr>
          <w:color w:val="000000" w:themeColor="text1"/>
        </w:rPr>
        <w:t>Po przedstawieniu i omówieniu wstępnej wersji raportu Zamawiający będzie uprawniony do zgłoszenia uwag, zastrzeżeń, poprawek lub wniosków o</w:t>
      </w:r>
      <w:r w:rsidR="00B25182" w:rsidRPr="001B41FC">
        <w:rPr>
          <w:color w:val="000000" w:themeColor="text1"/>
        </w:rPr>
        <w:t> </w:t>
      </w:r>
      <w:r w:rsidRPr="001B41FC">
        <w:rPr>
          <w:color w:val="000000" w:themeColor="text1"/>
        </w:rPr>
        <w:t>rozszerzenie treści raportu. Wykonawca zobowiązany jest do ich uwzględnienia lub przedstawienia merytorycznego odniesienia w terminie 10</w:t>
      </w:r>
      <w:r w:rsidR="00B25182" w:rsidRPr="001B41FC">
        <w:rPr>
          <w:color w:val="000000" w:themeColor="text1"/>
        </w:rPr>
        <w:t> </w:t>
      </w:r>
      <w:r w:rsidRPr="001B41FC">
        <w:rPr>
          <w:color w:val="000000" w:themeColor="text1"/>
        </w:rPr>
        <w:t>dni roboczych od dnia ich zgłoszenia, w ramach wynagrodzenia należnego za realizację zamówienia.</w:t>
      </w:r>
    </w:p>
    <w:p w14:paraId="31072521" w14:textId="77777777" w:rsidR="008B503B" w:rsidRPr="001B41FC" w:rsidRDefault="008B503B" w:rsidP="00B25182">
      <w:pPr>
        <w:numPr>
          <w:ilvl w:val="0"/>
          <w:numId w:val="36"/>
        </w:numPr>
        <w:rPr>
          <w:color w:val="000000" w:themeColor="text1"/>
        </w:rPr>
      </w:pPr>
      <w:r w:rsidRPr="001B41FC">
        <w:rPr>
          <w:color w:val="000000" w:themeColor="text1"/>
        </w:rPr>
        <w:t>Po uwzględnieniu zgłoszonych uwag Wykonawca przekaże Zamawiającemu raport końcowy z kontroli, zawierający:</w:t>
      </w:r>
    </w:p>
    <w:p w14:paraId="7A282A04" w14:textId="77777777" w:rsidR="008B503B" w:rsidRPr="001B41FC" w:rsidRDefault="008B503B" w:rsidP="00B25182">
      <w:pPr>
        <w:numPr>
          <w:ilvl w:val="1"/>
          <w:numId w:val="36"/>
        </w:numPr>
        <w:tabs>
          <w:tab w:val="num" w:pos="1440"/>
        </w:tabs>
        <w:spacing w:after="0"/>
        <w:rPr>
          <w:color w:val="000000" w:themeColor="text1"/>
        </w:rPr>
      </w:pPr>
      <w:r w:rsidRPr="001B41FC">
        <w:rPr>
          <w:color w:val="000000" w:themeColor="text1"/>
        </w:rPr>
        <w:t>opis przeprowadzonych czynności kontrolnych oraz zastosowanej metodologii,</w:t>
      </w:r>
    </w:p>
    <w:p w14:paraId="71E0E325" w14:textId="77777777" w:rsidR="008B503B" w:rsidRPr="001B41FC" w:rsidRDefault="008B503B" w:rsidP="00B25182">
      <w:pPr>
        <w:numPr>
          <w:ilvl w:val="1"/>
          <w:numId w:val="36"/>
        </w:numPr>
        <w:tabs>
          <w:tab w:val="num" w:pos="1440"/>
        </w:tabs>
        <w:spacing w:after="0"/>
        <w:rPr>
          <w:color w:val="000000" w:themeColor="text1"/>
        </w:rPr>
      </w:pPr>
      <w:r w:rsidRPr="001B41FC">
        <w:rPr>
          <w:color w:val="000000" w:themeColor="text1"/>
        </w:rPr>
        <w:t>ustalenia faktyczne i wnioski,</w:t>
      </w:r>
    </w:p>
    <w:p w14:paraId="5B7700D8" w14:textId="77777777" w:rsidR="008B503B" w:rsidRPr="001B41FC" w:rsidRDefault="008B503B" w:rsidP="00B25182">
      <w:pPr>
        <w:numPr>
          <w:ilvl w:val="1"/>
          <w:numId w:val="36"/>
        </w:numPr>
        <w:tabs>
          <w:tab w:val="num" w:pos="1440"/>
        </w:tabs>
        <w:spacing w:after="0"/>
        <w:rPr>
          <w:color w:val="000000" w:themeColor="text1"/>
        </w:rPr>
      </w:pPr>
      <w:r w:rsidRPr="001B41FC">
        <w:rPr>
          <w:color w:val="000000" w:themeColor="text1"/>
        </w:rPr>
        <w:lastRenderedPageBreak/>
        <w:t>wskazanie ewentualnych nieprawidłowości lub obszarów ryzyka,</w:t>
      </w:r>
    </w:p>
    <w:p w14:paraId="7F6848CA" w14:textId="77777777" w:rsidR="008B503B" w:rsidRPr="001B41FC" w:rsidRDefault="008B503B" w:rsidP="00B25182">
      <w:pPr>
        <w:numPr>
          <w:ilvl w:val="1"/>
          <w:numId w:val="36"/>
        </w:numPr>
        <w:tabs>
          <w:tab w:val="num" w:pos="1440"/>
        </w:tabs>
        <w:spacing w:after="0"/>
        <w:rPr>
          <w:color w:val="000000" w:themeColor="text1"/>
        </w:rPr>
      </w:pPr>
      <w:r w:rsidRPr="001B41FC">
        <w:rPr>
          <w:color w:val="000000" w:themeColor="text1"/>
        </w:rPr>
        <w:t>rekomendacje działań naprawczych,</w:t>
      </w:r>
    </w:p>
    <w:p w14:paraId="5EBD63EB" w14:textId="77777777" w:rsidR="008B503B" w:rsidRPr="001B41FC" w:rsidRDefault="008B503B" w:rsidP="00B25182">
      <w:pPr>
        <w:numPr>
          <w:ilvl w:val="1"/>
          <w:numId w:val="36"/>
        </w:numPr>
        <w:tabs>
          <w:tab w:val="num" w:pos="1440"/>
        </w:tabs>
        <w:spacing w:after="0"/>
        <w:rPr>
          <w:color w:val="000000" w:themeColor="text1"/>
        </w:rPr>
      </w:pPr>
      <w:r w:rsidRPr="001B41FC">
        <w:rPr>
          <w:color w:val="000000" w:themeColor="text1"/>
        </w:rPr>
        <w:t>w miarę możliwości – kwantyfikację strat lub utraconych korzyści poniesionych przez spółkę.</w:t>
      </w:r>
    </w:p>
    <w:p w14:paraId="61B3C8D7" w14:textId="51286079" w:rsidR="0091692D" w:rsidRPr="001B41FC" w:rsidRDefault="008B503B" w:rsidP="00B25182">
      <w:pPr>
        <w:numPr>
          <w:ilvl w:val="0"/>
          <w:numId w:val="36"/>
        </w:numPr>
        <w:spacing w:before="120" w:after="0"/>
        <w:ind w:left="499" w:hanging="357"/>
        <w:rPr>
          <w:color w:val="000000" w:themeColor="text1"/>
        </w:rPr>
      </w:pPr>
      <w:r w:rsidRPr="001B41FC">
        <w:rPr>
          <w:color w:val="000000" w:themeColor="text1"/>
        </w:rPr>
        <w:t>Zakończenie realizacji przedmiotu zamówienia nastąpi poprzez podpisanie przez Strony protokołu zdawczo-odbiorczego, nie później niż w terminie 21</w:t>
      </w:r>
      <w:r w:rsidR="00B25182" w:rsidRPr="001B41FC">
        <w:rPr>
          <w:color w:val="000000" w:themeColor="text1"/>
        </w:rPr>
        <w:t> </w:t>
      </w:r>
      <w:r w:rsidRPr="001B41FC">
        <w:rPr>
          <w:color w:val="000000" w:themeColor="text1"/>
        </w:rPr>
        <w:t>dni od dnia przekazania raportu końcowego, z uwzględnieniem czasu na zgłoszenie i uwzględnienie uwag Zamawiającego.</w:t>
      </w:r>
    </w:p>
    <w:p w14:paraId="35B5191E" w14:textId="77777777" w:rsidR="00EE1422" w:rsidRPr="001B41FC" w:rsidRDefault="00EE1422" w:rsidP="00EE1422">
      <w:pPr>
        <w:spacing w:before="120" w:after="0"/>
        <w:ind w:left="499"/>
        <w:rPr>
          <w:color w:val="000000" w:themeColor="text1"/>
        </w:rPr>
      </w:pPr>
    </w:p>
    <w:p w14:paraId="0A9E8CA7" w14:textId="0A13034D" w:rsidR="00EE1422" w:rsidRPr="001B41FC" w:rsidRDefault="008B503B" w:rsidP="0004393E">
      <w:pPr>
        <w:rPr>
          <w:color w:val="000000" w:themeColor="text1"/>
        </w:rPr>
      </w:pPr>
      <w:r w:rsidRPr="001B41FC">
        <w:rPr>
          <w:color w:val="000000" w:themeColor="text1"/>
        </w:rPr>
        <w:t>Kontrola winna zostać przeprowadzona zgodnie z art. 212 Kodeksu spółek handlowych, obowiązującymi przepisami prawa, zasadami należytej staranności oraz standardami kontroli.</w:t>
      </w:r>
    </w:p>
    <w:p w14:paraId="557FBA15" w14:textId="77777777" w:rsidR="00E42849" w:rsidRPr="001B41FC" w:rsidRDefault="00E42849" w:rsidP="00E42849">
      <w:pPr>
        <w:rPr>
          <w:rFonts w:cs="Calibri"/>
          <w:color w:val="000000" w:themeColor="text1"/>
          <w:szCs w:val="28"/>
        </w:rPr>
      </w:pPr>
      <w:r w:rsidRPr="001B41FC">
        <w:rPr>
          <w:rFonts w:cs="Calibri"/>
          <w:color w:val="000000" w:themeColor="text1"/>
          <w:szCs w:val="28"/>
        </w:rPr>
        <w:t>CHARAKTERYSTYKA SPÓŁKI:</w:t>
      </w:r>
    </w:p>
    <w:p w14:paraId="201291EB" w14:textId="77777777" w:rsidR="00E42849" w:rsidRPr="001B41FC" w:rsidRDefault="00E42849" w:rsidP="00E42849">
      <w:pPr>
        <w:numPr>
          <w:ilvl w:val="0"/>
          <w:numId w:val="29"/>
        </w:numPr>
        <w:spacing w:after="0"/>
        <w:rPr>
          <w:rFonts w:cs="Calibri"/>
          <w:color w:val="000000" w:themeColor="text1"/>
          <w:szCs w:val="28"/>
        </w:rPr>
      </w:pPr>
      <w:r w:rsidRPr="001B41FC">
        <w:rPr>
          <w:rFonts w:cs="Calibri"/>
          <w:color w:val="000000" w:themeColor="text1"/>
          <w:szCs w:val="28"/>
        </w:rPr>
        <w:t xml:space="preserve">właściciel: Gmina Śrem (100% udziałów), </w:t>
      </w:r>
    </w:p>
    <w:p w14:paraId="0374B97E" w14:textId="77777777" w:rsidR="00E42849" w:rsidRPr="001B41FC" w:rsidRDefault="00E42849" w:rsidP="00E42849">
      <w:pPr>
        <w:numPr>
          <w:ilvl w:val="0"/>
          <w:numId w:val="29"/>
        </w:numPr>
        <w:spacing w:after="0"/>
        <w:rPr>
          <w:rFonts w:cs="Calibri"/>
          <w:color w:val="000000" w:themeColor="text1"/>
          <w:szCs w:val="28"/>
        </w:rPr>
      </w:pPr>
      <w:r w:rsidRPr="001B41FC">
        <w:rPr>
          <w:rFonts w:cs="Calibri"/>
          <w:color w:val="000000" w:themeColor="text1"/>
          <w:szCs w:val="28"/>
        </w:rPr>
        <w:t>kapitał zakładowy: 20 060 300,00 zł,</w:t>
      </w:r>
    </w:p>
    <w:p w14:paraId="2FFCD770" w14:textId="77777777" w:rsidR="00E42849" w:rsidRPr="001B41FC" w:rsidRDefault="00E42849" w:rsidP="00E42849">
      <w:pPr>
        <w:numPr>
          <w:ilvl w:val="0"/>
          <w:numId w:val="29"/>
        </w:numPr>
        <w:spacing w:after="0"/>
        <w:rPr>
          <w:rFonts w:cs="Calibri"/>
          <w:color w:val="000000" w:themeColor="text1"/>
          <w:szCs w:val="28"/>
        </w:rPr>
      </w:pPr>
      <w:r w:rsidRPr="001B41FC">
        <w:rPr>
          <w:rFonts w:cs="Calibri"/>
          <w:color w:val="000000" w:themeColor="text1"/>
          <w:szCs w:val="28"/>
        </w:rPr>
        <w:t>liczba udziałów: 401 206,</w:t>
      </w:r>
    </w:p>
    <w:p w14:paraId="11E1B42A" w14:textId="77777777" w:rsidR="00E42849" w:rsidRPr="001B41FC" w:rsidRDefault="00E42849" w:rsidP="00E42849">
      <w:pPr>
        <w:numPr>
          <w:ilvl w:val="0"/>
          <w:numId w:val="29"/>
        </w:numPr>
        <w:spacing w:after="0"/>
        <w:rPr>
          <w:rFonts w:cs="Calibri"/>
          <w:color w:val="000000" w:themeColor="text1"/>
          <w:szCs w:val="28"/>
        </w:rPr>
      </w:pPr>
      <w:r w:rsidRPr="001B41FC">
        <w:rPr>
          <w:rFonts w:cs="Calibri"/>
          <w:color w:val="000000" w:themeColor="text1"/>
          <w:szCs w:val="28"/>
        </w:rPr>
        <w:t>zatrudnienie: średnio 44 etatów rocznie,</w:t>
      </w:r>
    </w:p>
    <w:p w14:paraId="1AC965E2" w14:textId="77777777" w:rsidR="00E42849" w:rsidRPr="00EE1422" w:rsidRDefault="00E42849" w:rsidP="00E42849">
      <w:pPr>
        <w:numPr>
          <w:ilvl w:val="0"/>
          <w:numId w:val="29"/>
        </w:numPr>
        <w:spacing w:after="0"/>
        <w:rPr>
          <w:rFonts w:cs="Calibri"/>
          <w:color w:val="000000" w:themeColor="text1"/>
          <w:szCs w:val="28"/>
        </w:rPr>
      </w:pPr>
      <w:r w:rsidRPr="00EE1422">
        <w:rPr>
          <w:rFonts w:cs="Calibri"/>
          <w:color w:val="000000" w:themeColor="text1"/>
          <w:szCs w:val="28"/>
        </w:rPr>
        <w:t>przychody netto ze sprzedaży: wzrost z 3,72 mln zł w 2022 r. do 4,82 mln zł w 2024 r.,</w:t>
      </w:r>
    </w:p>
    <w:p w14:paraId="3B56528A" w14:textId="2ABE9163" w:rsidR="002A7D85" w:rsidRDefault="00E42849" w:rsidP="00E42849">
      <w:pPr>
        <w:numPr>
          <w:ilvl w:val="0"/>
          <w:numId w:val="29"/>
        </w:numPr>
        <w:spacing w:after="0"/>
        <w:rPr>
          <w:rFonts w:cs="Calibri"/>
          <w:color w:val="000000" w:themeColor="text1"/>
          <w:szCs w:val="28"/>
        </w:rPr>
      </w:pPr>
      <w:r w:rsidRPr="00EE1422">
        <w:rPr>
          <w:rFonts w:cs="Calibri"/>
          <w:color w:val="000000" w:themeColor="text1"/>
          <w:szCs w:val="28"/>
        </w:rPr>
        <w:t>koszty działalności operacyjnej: od 7,53 mln zł (2022) do 10,03 mln zł (2024).</w:t>
      </w:r>
    </w:p>
    <w:p w14:paraId="51E22ADF" w14:textId="020BE156" w:rsidR="00E07AEB" w:rsidRPr="00C87946" w:rsidRDefault="00E07AEB" w:rsidP="00C87946">
      <w:pPr>
        <w:rPr>
          <w:rFonts w:cs="Calibri"/>
          <w:color w:val="000000" w:themeColor="text1"/>
          <w:szCs w:val="28"/>
        </w:rPr>
      </w:pPr>
    </w:p>
    <w:sectPr w:rsidR="00E07AEB" w:rsidRPr="00C87946" w:rsidSect="00535960">
      <w:pgSz w:w="11906" w:h="16838"/>
      <w:pgMar w:top="1304" w:right="1304" w:bottom="130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78E0"/>
    <w:multiLevelType w:val="hybridMultilevel"/>
    <w:tmpl w:val="082256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E33C6C"/>
    <w:multiLevelType w:val="multilevel"/>
    <w:tmpl w:val="5576F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color w:val="000000" w:themeColor="text1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6E0400"/>
    <w:multiLevelType w:val="hybridMultilevel"/>
    <w:tmpl w:val="4038083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2632DDC"/>
    <w:multiLevelType w:val="multilevel"/>
    <w:tmpl w:val="67300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136E5F"/>
    <w:multiLevelType w:val="hybridMultilevel"/>
    <w:tmpl w:val="11E627C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5280E07"/>
    <w:multiLevelType w:val="multilevel"/>
    <w:tmpl w:val="DC32E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D53738"/>
    <w:multiLevelType w:val="multilevel"/>
    <w:tmpl w:val="A3600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CA01FB"/>
    <w:multiLevelType w:val="multilevel"/>
    <w:tmpl w:val="482A0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FF5E4B"/>
    <w:multiLevelType w:val="multilevel"/>
    <w:tmpl w:val="D27A1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222FA9"/>
    <w:multiLevelType w:val="multilevel"/>
    <w:tmpl w:val="62364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12444F9"/>
    <w:multiLevelType w:val="hybridMultilevel"/>
    <w:tmpl w:val="7982154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7AB20A2"/>
    <w:multiLevelType w:val="hybridMultilevel"/>
    <w:tmpl w:val="62D03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042EC0"/>
    <w:multiLevelType w:val="hybridMultilevel"/>
    <w:tmpl w:val="7F6A71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90D3A"/>
    <w:multiLevelType w:val="multilevel"/>
    <w:tmpl w:val="50CC072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4" w15:restartNumberingAfterBreak="0">
    <w:nsid w:val="1FEB35AD"/>
    <w:multiLevelType w:val="hybridMultilevel"/>
    <w:tmpl w:val="BFBAC82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F1F6E53"/>
    <w:multiLevelType w:val="hybridMultilevel"/>
    <w:tmpl w:val="54F6B41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1AA53DE"/>
    <w:multiLevelType w:val="multilevel"/>
    <w:tmpl w:val="8B34A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55216F"/>
    <w:multiLevelType w:val="multilevel"/>
    <w:tmpl w:val="C63EC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A85B55"/>
    <w:multiLevelType w:val="hybridMultilevel"/>
    <w:tmpl w:val="501CAE10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8E7568B"/>
    <w:multiLevelType w:val="multilevel"/>
    <w:tmpl w:val="A3600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A93BF9"/>
    <w:multiLevelType w:val="hybridMultilevel"/>
    <w:tmpl w:val="A49689A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B5C310E"/>
    <w:multiLevelType w:val="hybridMultilevel"/>
    <w:tmpl w:val="1ED2D7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8D0CCC"/>
    <w:multiLevelType w:val="hybridMultilevel"/>
    <w:tmpl w:val="F63613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DF71E90"/>
    <w:multiLevelType w:val="hybridMultilevel"/>
    <w:tmpl w:val="D1C6322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0F84397"/>
    <w:multiLevelType w:val="hybridMultilevel"/>
    <w:tmpl w:val="65BA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26AD7"/>
    <w:multiLevelType w:val="hybridMultilevel"/>
    <w:tmpl w:val="F558C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617A0"/>
    <w:multiLevelType w:val="hybridMultilevel"/>
    <w:tmpl w:val="29CA75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4161F"/>
    <w:multiLevelType w:val="hybridMultilevel"/>
    <w:tmpl w:val="A49A4A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61703"/>
    <w:multiLevelType w:val="hybridMultilevel"/>
    <w:tmpl w:val="00840C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272475">
    <w:abstractNumId w:val="5"/>
  </w:num>
  <w:num w:numId="2" w16cid:durableId="85519796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877349188">
    <w:abstractNumId w:val="24"/>
  </w:num>
  <w:num w:numId="4" w16cid:durableId="2097628957">
    <w:abstractNumId w:val="21"/>
  </w:num>
  <w:num w:numId="5" w16cid:durableId="385296021">
    <w:abstractNumId w:val="28"/>
  </w:num>
  <w:num w:numId="6" w16cid:durableId="1761366845">
    <w:abstractNumId w:val="27"/>
  </w:num>
  <w:num w:numId="7" w16cid:durableId="771900270">
    <w:abstractNumId w:val="16"/>
  </w:num>
  <w:num w:numId="8" w16cid:durableId="283468735">
    <w:abstractNumId w:val="12"/>
  </w:num>
  <w:num w:numId="9" w16cid:durableId="1760523396">
    <w:abstractNumId w:val="11"/>
  </w:num>
  <w:num w:numId="10" w16cid:durableId="1895894454">
    <w:abstractNumId w:val="11"/>
  </w:num>
  <w:num w:numId="11" w16cid:durableId="1064335346">
    <w:abstractNumId w:val="26"/>
  </w:num>
  <w:num w:numId="12" w16cid:durableId="1915815000">
    <w:abstractNumId w:val="18"/>
  </w:num>
  <w:num w:numId="13" w16cid:durableId="853148345">
    <w:abstractNumId w:val="8"/>
  </w:num>
  <w:num w:numId="14" w16cid:durableId="987629931">
    <w:abstractNumId w:val="1"/>
  </w:num>
  <w:num w:numId="15" w16cid:durableId="1575973061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42443058">
    <w:abstractNumId w:val="20"/>
  </w:num>
  <w:num w:numId="17" w16cid:durableId="1410078873">
    <w:abstractNumId w:val="10"/>
  </w:num>
  <w:num w:numId="18" w16cid:durableId="2056998018">
    <w:abstractNumId w:val="0"/>
  </w:num>
  <w:num w:numId="19" w16cid:durableId="851989577">
    <w:abstractNumId w:val="23"/>
  </w:num>
  <w:num w:numId="20" w16cid:durableId="1507986992">
    <w:abstractNumId w:val="22"/>
  </w:num>
  <w:num w:numId="21" w16cid:durableId="1726560129">
    <w:abstractNumId w:val="0"/>
  </w:num>
  <w:num w:numId="22" w16cid:durableId="183828922">
    <w:abstractNumId w:val="25"/>
  </w:num>
  <w:num w:numId="23" w16cid:durableId="1944023801">
    <w:abstractNumId w:val="6"/>
  </w:num>
  <w:num w:numId="24" w16cid:durableId="1088500099">
    <w:abstractNumId w:val="20"/>
  </w:num>
  <w:num w:numId="25" w16cid:durableId="1398161572">
    <w:abstractNumId w:val="10"/>
  </w:num>
  <w:num w:numId="26" w16cid:durableId="329145106">
    <w:abstractNumId w:val="0"/>
  </w:num>
  <w:num w:numId="27" w16cid:durableId="642662881">
    <w:abstractNumId w:val="23"/>
  </w:num>
  <w:num w:numId="28" w16cid:durableId="135091060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59510007">
    <w:abstractNumId w:val="1"/>
  </w:num>
  <w:num w:numId="30" w16cid:durableId="61953536">
    <w:abstractNumId w:val="3"/>
  </w:num>
  <w:num w:numId="31" w16cid:durableId="779229011">
    <w:abstractNumId w:val="7"/>
  </w:num>
  <w:num w:numId="32" w16cid:durableId="758061531">
    <w:abstractNumId w:val="15"/>
  </w:num>
  <w:num w:numId="33" w16cid:durableId="463892731">
    <w:abstractNumId w:val="14"/>
  </w:num>
  <w:num w:numId="34" w16cid:durableId="1479572721">
    <w:abstractNumId w:val="2"/>
  </w:num>
  <w:num w:numId="35" w16cid:durableId="315573976">
    <w:abstractNumId w:val="4"/>
  </w:num>
  <w:num w:numId="36" w16cid:durableId="1716389837">
    <w:abstractNumId w:val="13"/>
  </w:num>
  <w:num w:numId="37" w16cid:durableId="1599093275">
    <w:abstractNumId w:val="17"/>
  </w:num>
  <w:num w:numId="38" w16cid:durableId="14215633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E49"/>
    <w:rsid w:val="000248E0"/>
    <w:rsid w:val="0004393E"/>
    <w:rsid w:val="00084747"/>
    <w:rsid w:val="000C1AD2"/>
    <w:rsid w:val="00100665"/>
    <w:rsid w:val="00137C76"/>
    <w:rsid w:val="001B41FC"/>
    <w:rsid w:val="001D6CD1"/>
    <w:rsid w:val="001E3B49"/>
    <w:rsid w:val="001E40C0"/>
    <w:rsid w:val="00243B20"/>
    <w:rsid w:val="0025790B"/>
    <w:rsid w:val="00272879"/>
    <w:rsid w:val="00274AD1"/>
    <w:rsid w:val="002A7D85"/>
    <w:rsid w:val="00301547"/>
    <w:rsid w:val="00314F16"/>
    <w:rsid w:val="003C4715"/>
    <w:rsid w:val="00446980"/>
    <w:rsid w:val="00493412"/>
    <w:rsid w:val="00496200"/>
    <w:rsid w:val="004B272F"/>
    <w:rsid w:val="00535960"/>
    <w:rsid w:val="00543770"/>
    <w:rsid w:val="005B2672"/>
    <w:rsid w:val="005F6123"/>
    <w:rsid w:val="0063207D"/>
    <w:rsid w:val="006759EE"/>
    <w:rsid w:val="00687049"/>
    <w:rsid w:val="006E6816"/>
    <w:rsid w:val="00763FC5"/>
    <w:rsid w:val="007A1AB7"/>
    <w:rsid w:val="008135AD"/>
    <w:rsid w:val="00842DB1"/>
    <w:rsid w:val="008A174F"/>
    <w:rsid w:val="008B503B"/>
    <w:rsid w:val="008F4684"/>
    <w:rsid w:val="0091692D"/>
    <w:rsid w:val="009B1E49"/>
    <w:rsid w:val="009B25C0"/>
    <w:rsid w:val="009D54A4"/>
    <w:rsid w:val="009D745D"/>
    <w:rsid w:val="00AB1680"/>
    <w:rsid w:val="00AC5A08"/>
    <w:rsid w:val="00B25182"/>
    <w:rsid w:val="00B517F8"/>
    <w:rsid w:val="00B56D33"/>
    <w:rsid w:val="00C452E9"/>
    <w:rsid w:val="00C87946"/>
    <w:rsid w:val="00CC6069"/>
    <w:rsid w:val="00CE2631"/>
    <w:rsid w:val="00CE29FE"/>
    <w:rsid w:val="00D12B57"/>
    <w:rsid w:val="00D60982"/>
    <w:rsid w:val="00DC405F"/>
    <w:rsid w:val="00E05A2A"/>
    <w:rsid w:val="00E07AEB"/>
    <w:rsid w:val="00E216DD"/>
    <w:rsid w:val="00E42849"/>
    <w:rsid w:val="00E55232"/>
    <w:rsid w:val="00E57FDB"/>
    <w:rsid w:val="00E85883"/>
    <w:rsid w:val="00E93261"/>
    <w:rsid w:val="00EE1422"/>
    <w:rsid w:val="00EF61E1"/>
    <w:rsid w:val="00F26EFA"/>
    <w:rsid w:val="00F779E8"/>
    <w:rsid w:val="00FB5D65"/>
    <w:rsid w:val="00FD246E"/>
    <w:rsid w:val="00FD7820"/>
    <w:rsid w:val="00FE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3EE03"/>
  <w15:chartTrackingRefBased/>
  <w15:docId w15:val="{63F02E58-A6DD-4117-A4BE-0947DBF19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8"/>
        <w:szCs w:val="22"/>
        <w:lang w:val="pl-PL" w:eastAsia="en-US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B1E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1E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1E4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1E4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1E4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1E4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1E4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1E4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1E4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1E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1E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1E49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1E4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1E4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1E4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1E4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1E4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1E49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1E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1E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1E4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1E49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1E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1E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1E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1E4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1E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1E4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1E49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1E3B4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1E3B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739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Nowacka</dc:creator>
  <cp:keywords/>
  <dc:description/>
  <cp:lastModifiedBy>Karolina Nowacka</cp:lastModifiedBy>
  <cp:revision>26</cp:revision>
  <cp:lastPrinted>2026-01-14T09:07:00Z</cp:lastPrinted>
  <dcterms:created xsi:type="dcterms:W3CDTF">2026-01-12T12:26:00Z</dcterms:created>
  <dcterms:modified xsi:type="dcterms:W3CDTF">2026-04-21T06:32:00Z</dcterms:modified>
</cp:coreProperties>
</file>